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left"/>
        <w:rPr>
          <w:rFonts w:ascii="宋体" w:hAnsi="宋体" w:eastAsia="宋体"/>
          <w:color w:val="auto"/>
          <w:sz w:val="24"/>
          <w:szCs w:val="24"/>
        </w:rPr>
      </w:pPr>
      <w:r>
        <w:rPr>
          <w:rFonts w:hint="eastAsia" w:ascii="宋体" w:hAnsi="宋体" w:eastAsia="宋体"/>
          <w:color w:val="auto"/>
          <w:sz w:val="24"/>
          <w:szCs w:val="24"/>
        </w:rPr>
        <w:t>附件1：</w:t>
      </w:r>
    </w:p>
    <w:p>
      <w:pPr>
        <w:jc w:val="center"/>
        <w:rPr>
          <w:rFonts w:ascii="宋体" w:hAnsi="宋体" w:eastAsia="宋体"/>
          <w:b/>
          <w:bCs/>
          <w:color w:val="auto"/>
          <w:sz w:val="36"/>
          <w:szCs w:val="36"/>
        </w:rPr>
      </w:pPr>
    </w:p>
    <w:p>
      <w:pPr>
        <w:jc w:val="center"/>
        <w:rPr>
          <w:rFonts w:ascii="宋体" w:hAnsi="宋体" w:eastAsia="宋体"/>
          <w:b/>
          <w:bCs/>
          <w:color w:val="auto"/>
          <w:sz w:val="36"/>
          <w:szCs w:val="36"/>
        </w:rPr>
      </w:pPr>
      <w:r>
        <w:rPr>
          <w:rFonts w:ascii="宋体" w:hAnsi="宋体" w:eastAsia="宋体"/>
          <w:b/>
          <w:bCs/>
          <w:color w:val="auto"/>
          <w:sz w:val="36"/>
          <w:szCs w:val="36"/>
        </w:rPr>
        <w:t>202</w:t>
      </w:r>
      <w:r>
        <w:rPr>
          <w:rFonts w:hint="eastAsia" w:ascii="宋体" w:hAnsi="宋体" w:eastAsia="宋体"/>
          <w:b/>
          <w:bCs/>
          <w:color w:val="auto"/>
          <w:sz w:val="36"/>
          <w:szCs w:val="36"/>
        </w:rPr>
        <w:t>3</w:t>
      </w:r>
      <w:r>
        <w:rPr>
          <w:rFonts w:ascii="宋体" w:hAnsi="宋体" w:eastAsia="宋体"/>
          <w:b/>
          <w:bCs/>
          <w:color w:val="auto"/>
          <w:sz w:val="36"/>
          <w:szCs w:val="36"/>
        </w:rPr>
        <w:t>年</w:t>
      </w:r>
      <w:r>
        <w:rPr>
          <w:rFonts w:hint="eastAsia" w:ascii="宋体" w:hAnsi="宋体" w:eastAsia="宋体"/>
          <w:b/>
          <w:bCs/>
          <w:color w:val="auto"/>
          <w:sz w:val="36"/>
          <w:szCs w:val="36"/>
        </w:rPr>
        <w:t>南京中医药大学公共管理案例</w:t>
      </w:r>
      <w:r>
        <w:rPr>
          <w:rFonts w:ascii="宋体" w:hAnsi="宋体" w:eastAsia="宋体"/>
          <w:b/>
          <w:bCs/>
          <w:color w:val="auto"/>
          <w:sz w:val="36"/>
          <w:szCs w:val="36"/>
        </w:rPr>
        <w:t>大赛</w:t>
      </w:r>
      <w:r>
        <w:rPr>
          <w:rFonts w:hint="eastAsia" w:ascii="宋体" w:hAnsi="宋体" w:eastAsia="宋体"/>
          <w:b/>
          <w:bCs/>
          <w:color w:val="auto"/>
          <w:sz w:val="36"/>
          <w:szCs w:val="36"/>
        </w:rPr>
        <w:t>案例分析</w:t>
      </w:r>
    </w:p>
    <w:p>
      <w:pPr>
        <w:jc w:val="center"/>
        <w:rPr>
          <w:rFonts w:ascii="宋体" w:hAnsi="宋体" w:eastAsia="宋体"/>
          <w:b/>
          <w:bCs/>
          <w:color w:val="auto"/>
          <w:sz w:val="36"/>
          <w:szCs w:val="36"/>
        </w:rPr>
      </w:pPr>
      <w:r>
        <w:rPr>
          <w:rFonts w:ascii="宋体" w:hAnsi="宋体" w:eastAsia="宋体"/>
          <w:b/>
          <w:bCs/>
          <w:color w:val="auto"/>
          <w:sz w:val="36"/>
          <w:szCs w:val="36"/>
        </w:rPr>
        <w:t>报告</w:t>
      </w:r>
      <w:r>
        <w:rPr>
          <w:rFonts w:hint="eastAsia" w:ascii="宋体" w:hAnsi="宋体" w:eastAsia="宋体"/>
          <w:b/>
          <w:bCs/>
          <w:color w:val="auto"/>
          <w:sz w:val="36"/>
          <w:szCs w:val="36"/>
        </w:rPr>
        <w:t>细则</w:t>
      </w:r>
    </w:p>
    <w:p>
      <w:pPr>
        <w:rPr>
          <w:rFonts w:ascii="宋体" w:hAnsi="宋体" w:eastAsia="宋体"/>
          <w:color w:val="auto"/>
          <w:sz w:val="24"/>
          <w:szCs w:val="24"/>
        </w:rPr>
      </w:pPr>
    </w:p>
    <w:p>
      <w:pPr>
        <w:spacing w:before="156" w:beforeLines="50" w:after="156" w:afterLines="50"/>
        <w:rPr>
          <w:rFonts w:ascii="宋体" w:hAnsi="宋体" w:eastAsia="宋体"/>
          <w:b/>
          <w:bCs/>
          <w:color w:val="auto"/>
          <w:sz w:val="28"/>
          <w:szCs w:val="28"/>
        </w:rPr>
      </w:pPr>
      <w:r>
        <w:rPr>
          <w:rFonts w:hint="eastAsia" w:ascii="宋体" w:hAnsi="宋体" w:eastAsia="宋体"/>
          <w:b/>
          <w:bCs/>
          <w:color w:val="auto"/>
          <w:sz w:val="28"/>
          <w:szCs w:val="28"/>
        </w:rPr>
        <w:t>一、</w:t>
      </w:r>
      <w:r>
        <w:rPr>
          <w:rFonts w:ascii="宋体" w:hAnsi="宋体" w:eastAsia="宋体"/>
          <w:b/>
          <w:bCs/>
          <w:color w:val="auto"/>
          <w:sz w:val="28"/>
          <w:szCs w:val="28"/>
        </w:rPr>
        <w:t>案例分析报告结构与要求</w:t>
      </w:r>
    </w:p>
    <w:p>
      <w:pPr>
        <w:spacing w:line="360" w:lineRule="auto"/>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、一个完整的</w:t>
      </w:r>
      <w:r>
        <w:rPr>
          <w:rFonts w:ascii="宋体" w:hAnsi="宋体" w:eastAsia="宋体"/>
          <w:color w:val="auto"/>
          <w:sz w:val="24"/>
          <w:szCs w:val="24"/>
        </w:rPr>
        <w:t>案例分析报告</w:t>
      </w:r>
      <w:r>
        <w:rPr>
          <w:rFonts w:hint="eastAsia" w:ascii="宋体" w:hAnsi="宋体" w:eastAsia="宋体"/>
          <w:color w:val="auto"/>
          <w:sz w:val="24"/>
          <w:szCs w:val="24"/>
        </w:rPr>
        <w:t>由两个部分构成：一是</w:t>
      </w:r>
      <w:r>
        <w:rPr>
          <w:rFonts w:ascii="宋体" w:hAnsi="宋体" w:eastAsia="宋体"/>
          <w:color w:val="auto"/>
          <w:sz w:val="24"/>
          <w:szCs w:val="24"/>
        </w:rPr>
        <w:t>1500字以内的案例介绍</w:t>
      </w:r>
      <w:r>
        <w:rPr>
          <w:rFonts w:hint="eastAsia" w:ascii="宋体" w:hAnsi="宋体" w:eastAsia="宋体"/>
          <w:color w:val="auto"/>
          <w:sz w:val="24"/>
          <w:szCs w:val="24"/>
        </w:rPr>
        <w:t>部分，二是15000字以内的案例分析部分。</w:t>
      </w:r>
    </w:p>
    <w:p>
      <w:pPr>
        <w:spacing w:line="360" w:lineRule="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w:t>
      </w:r>
      <w:r>
        <w:rPr>
          <w:rFonts w:ascii="宋体" w:hAnsi="宋体" w:eastAsia="宋体"/>
          <w:color w:val="auto"/>
          <w:sz w:val="24"/>
          <w:szCs w:val="24"/>
        </w:rPr>
        <w:t>案例介绍</w:t>
      </w:r>
      <w:r>
        <w:rPr>
          <w:rFonts w:hint="eastAsia" w:ascii="宋体" w:hAnsi="宋体" w:eastAsia="宋体"/>
          <w:color w:val="auto"/>
          <w:sz w:val="24"/>
          <w:szCs w:val="24"/>
        </w:rPr>
        <w:t>部分应使用文字、图表等方式呈现一个完整的案例。案例分析部分是围绕上述案例展开的分析（如对案例发生的原因或背景、表现出的问题等进行分析，并提出政策建议）</w:t>
      </w:r>
      <w:r>
        <w:rPr>
          <w:rFonts w:ascii="宋体" w:hAnsi="宋体" w:eastAsia="宋体"/>
          <w:color w:val="auto"/>
          <w:sz w:val="24"/>
          <w:szCs w:val="24"/>
        </w:rPr>
        <w:t>。</w:t>
      </w:r>
    </w:p>
    <w:p>
      <w:pPr>
        <w:spacing w:line="360" w:lineRule="auto"/>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w:t>
      </w:r>
      <w:r>
        <w:rPr>
          <w:rFonts w:ascii="宋体" w:hAnsi="宋体" w:eastAsia="宋体"/>
          <w:color w:val="auto"/>
          <w:sz w:val="24"/>
          <w:szCs w:val="24"/>
        </w:rPr>
        <w:t>案例分析报告所引用的数据及图表应作为案例分析报告附录一并提交。</w:t>
      </w:r>
    </w:p>
    <w:p>
      <w:pPr>
        <w:spacing w:line="360" w:lineRule="auto"/>
        <w:rPr>
          <w:rFonts w:ascii="宋体" w:hAnsi="宋体" w:eastAsia="宋体"/>
          <w:color w:val="auto"/>
          <w:sz w:val="24"/>
          <w:szCs w:val="24"/>
        </w:rPr>
      </w:pPr>
    </w:p>
    <w:p>
      <w:pPr>
        <w:spacing w:before="156" w:beforeLines="50" w:after="156" w:afterLines="50"/>
        <w:rPr>
          <w:rFonts w:ascii="宋体" w:hAnsi="宋体" w:eastAsia="宋体"/>
          <w:b/>
          <w:bCs/>
          <w:color w:val="auto"/>
          <w:sz w:val="28"/>
          <w:szCs w:val="28"/>
        </w:rPr>
      </w:pPr>
      <w:r>
        <w:rPr>
          <w:rFonts w:hint="eastAsia" w:ascii="宋体" w:hAnsi="宋体" w:eastAsia="宋体"/>
          <w:b/>
          <w:bCs/>
          <w:color w:val="auto"/>
          <w:sz w:val="28"/>
          <w:szCs w:val="28"/>
        </w:rPr>
        <w:t>二、</w:t>
      </w:r>
      <w:r>
        <w:rPr>
          <w:rFonts w:ascii="宋体" w:hAnsi="宋体" w:eastAsia="宋体"/>
          <w:b/>
          <w:bCs/>
          <w:color w:val="auto"/>
          <w:sz w:val="28"/>
          <w:szCs w:val="28"/>
        </w:rPr>
        <w:t xml:space="preserve"> 案例分析报告书写规范</w:t>
      </w:r>
    </w:p>
    <w:p>
      <w:pPr>
        <w:spacing w:line="360" w:lineRule="auto"/>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w:t>
      </w:r>
      <w:r>
        <w:rPr>
          <w:rFonts w:ascii="宋体" w:hAnsi="宋体" w:eastAsia="宋体"/>
          <w:color w:val="auto"/>
          <w:sz w:val="24"/>
          <w:szCs w:val="24"/>
        </w:rPr>
        <w:t>字体和字号</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章标题：三号黑体居中</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节标题：四号黑体居左</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条标题：小四号黑体居左</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正文：小四号宋体</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页码：五号宋体</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数字和字母：</w:t>
      </w:r>
      <w:r>
        <w:rPr>
          <w:rFonts w:ascii="宋体" w:hAnsi="宋体" w:eastAsia="宋体"/>
          <w:color w:val="auto"/>
          <w:sz w:val="24"/>
          <w:szCs w:val="24"/>
        </w:rPr>
        <w:t>Times New Roman</w:t>
      </w:r>
    </w:p>
    <w:p>
      <w:pPr>
        <w:spacing w:line="360" w:lineRule="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w:t>
      </w:r>
      <w:r>
        <w:rPr>
          <w:rFonts w:ascii="宋体" w:hAnsi="宋体" w:eastAsia="宋体"/>
          <w:color w:val="auto"/>
          <w:sz w:val="24"/>
          <w:szCs w:val="24"/>
        </w:rPr>
        <w:t>页边距及行距</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分析报告的上边距：</w:t>
      </w:r>
      <w:r>
        <w:rPr>
          <w:rFonts w:ascii="宋体" w:hAnsi="宋体" w:eastAsia="宋体"/>
          <w:color w:val="auto"/>
          <w:sz w:val="24"/>
          <w:szCs w:val="24"/>
        </w:rPr>
        <w:t>25mm；下边距：25mm；左边距：30mm；右边距20mm；</w:t>
      </w:r>
      <w:r>
        <w:rPr>
          <w:rFonts w:hint="eastAsia" w:ascii="宋体" w:hAnsi="宋体" w:eastAsia="宋体"/>
          <w:color w:val="auto"/>
          <w:sz w:val="24"/>
          <w:szCs w:val="24"/>
        </w:rPr>
        <w:t>章、节、条三级标题为单倍行距，段前、段后各设为</w:t>
      </w:r>
      <w:r>
        <w:rPr>
          <w:rFonts w:ascii="宋体" w:hAnsi="宋体" w:eastAsia="宋体"/>
          <w:color w:val="auto"/>
          <w:sz w:val="24"/>
          <w:szCs w:val="24"/>
        </w:rPr>
        <w:t>0.5行（即前后各空0.5行）。正文为1.5倍行距，段前、段后无空行（即空0行）。</w:t>
      </w:r>
    </w:p>
    <w:p>
      <w:pPr>
        <w:spacing w:line="360" w:lineRule="auto"/>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、封面、案例介绍和案例分析部分标题要求</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案例分析报告封面格式统一，参见本通知附件2。不允许在首页体现选手学校、姓名等任何其他信息。第二页起为案例介绍，案例介绍标题格式为案例标题</w:t>
      </w:r>
      <w:r>
        <w:rPr>
          <w:rFonts w:ascii="宋体" w:hAnsi="宋体" w:eastAsia="宋体"/>
          <w:color w:val="auto"/>
          <w:sz w:val="24"/>
          <w:szCs w:val="24"/>
        </w:rPr>
        <w:t>+“案例介绍”字样。</w:t>
      </w:r>
      <w:r>
        <w:rPr>
          <w:rFonts w:hint="eastAsia" w:ascii="宋体" w:hAnsi="宋体" w:eastAsia="宋体"/>
          <w:color w:val="auto"/>
          <w:sz w:val="24"/>
          <w:szCs w:val="24"/>
        </w:rPr>
        <w:t>案例分析部分的标题格式为“案例分析”字样。</w:t>
      </w:r>
    </w:p>
    <w:p>
      <w:pPr>
        <w:spacing w:line="360" w:lineRule="auto"/>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w:t>
      </w:r>
      <w:r>
        <w:rPr>
          <w:rFonts w:ascii="宋体" w:hAnsi="宋体" w:eastAsia="宋体"/>
          <w:color w:val="auto"/>
          <w:sz w:val="24"/>
          <w:szCs w:val="24"/>
        </w:rPr>
        <w:t>页眉</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页眉内容为第二届南京中医药大学卫生经济管理学院公共管理案例大赛案例分析报告</w:t>
      </w:r>
      <w:r>
        <w:rPr>
          <w:rFonts w:ascii="宋体" w:hAnsi="宋体" w:eastAsia="宋体"/>
          <w:color w:val="auto"/>
          <w:sz w:val="24"/>
          <w:szCs w:val="24"/>
        </w:rPr>
        <w:t>。页眉都用小五号宋体字，页眉的上边距为15mm；页脚的下边距为15mm。页眉标注从报告主体部分开始。</w:t>
      </w:r>
    </w:p>
    <w:p>
      <w:pPr>
        <w:spacing w:line="360" w:lineRule="auto"/>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w:t>
      </w:r>
      <w:r>
        <w:rPr>
          <w:rFonts w:ascii="宋体" w:hAnsi="宋体" w:eastAsia="宋体"/>
          <w:color w:val="auto"/>
          <w:sz w:val="24"/>
          <w:szCs w:val="24"/>
        </w:rPr>
        <w:t>页码</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封面不编页码，从案例介绍部分开始编页码，起始页码为1，用</w:t>
      </w:r>
      <w:r>
        <w:rPr>
          <w:rFonts w:ascii="宋体" w:hAnsi="宋体" w:eastAsia="宋体"/>
          <w:color w:val="auto"/>
          <w:sz w:val="24"/>
          <w:szCs w:val="24"/>
        </w:rPr>
        <w:t xml:space="preserve"> 五号阿拉伯数字编</w:t>
      </w:r>
      <w:r>
        <w:rPr>
          <w:rFonts w:hint="eastAsia" w:ascii="宋体" w:hAnsi="宋体" w:eastAsia="宋体"/>
          <w:color w:val="auto"/>
          <w:sz w:val="24"/>
          <w:szCs w:val="24"/>
        </w:rPr>
        <w:t>连续码，页码位于页脚居中。摘要、目录、图标清单、主要符号表用</w:t>
      </w:r>
      <w:r>
        <w:rPr>
          <w:rFonts w:ascii="宋体" w:hAnsi="宋体" w:eastAsia="宋体"/>
          <w:color w:val="auto"/>
          <w:sz w:val="24"/>
          <w:szCs w:val="24"/>
        </w:rPr>
        <w:t>五号小罗马数字编连续码，页码位</w:t>
      </w:r>
      <w:r>
        <w:rPr>
          <w:rFonts w:hint="eastAsia" w:ascii="宋体" w:hAnsi="宋体" w:eastAsia="宋体"/>
          <w:color w:val="auto"/>
          <w:sz w:val="24"/>
          <w:szCs w:val="24"/>
        </w:rPr>
        <w:t>于页脚居中。</w:t>
      </w:r>
    </w:p>
    <w:p>
      <w:pPr>
        <w:spacing w:line="360" w:lineRule="auto"/>
        <w:rPr>
          <w:rFonts w:ascii="宋体" w:hAnsi="宋体" w:eastAsia="宋体"/>
          <w:color w:val="auto"/>
          <w:sz w:val="24"/>
          <w:szCs w:val="24"/>
        </w:rPr>
      </w:pPr>
      <w:r>
        <w:rPr>
          <w:rFonts w:ascii="宋体" w:hAnsi="宋体" w:eastAsia="宋体"/>
          <w:color w:val="auto"/>
          <w:sz w:val="24"/>
          <w:szCs w:val="24"/>
        </w:rPr>
        <w:t>6．图、表及其附注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图和表应安排在正文中第</w:t>
      </w:r>
      <w:r>
        <w:rPr>
          <w:rFonts w:ascii="宋体" w:hAnsi="宋体" w:eastAsia="宋体"/>
          <w:color w:val="auto"/>
          <w:sz w:val="24"/>
          <w:szCs w:val="24"/>
        </w:rPr>
        <w:t>1次提及该图、表的文字的下方。当图或表不能</w:t>
      </w:r>
      <w:r>
        <w:rPr>
          <w:rFonts w:hint="eastAsia" w:ascii="宋体" w:hAnsi="宋体" w:eastAsia="宋体"/>
          <w:color w:val="auto"/>
          <w:sz w:val="24"/>
          <w:szCs w:val="24"/>
        </w:rPr>
        <w:t>安排在该页时，应安排在该页的下一页。</w:t>
      </w:r>
    </w:p>
    <w:p>
      <w:pPr>
        <w:spacing w:line="360" w:lineRule="auto"/>
        <w:rPr>
          <w:rFonts w:ascii="宋体" w:hAnsi="宋体" w:eastAsia="宋体"/>
          <w:color w:val="auto"/>
          <w:sz w:val="24"/>
          <w:szCs w:val="24"/>
        </w:rPr>
      </w:pPr>
      <w:r>
        <w:rPr>
          <w:rFonts w:ascii="宋体" w:hAnsi="宋体" w:eastAsia="宋体"/>
          <w:color w:val="auto"/>
          <w:sz w:val="24"/>
          <w:szCs w:val="24"/>
        </w:rPr>
        <w:t>6.1 图</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图题应明确简短，用</w:t>
      </w:r>
      <w:r>
        <w:rPr>
          <w:rFonts w:ascii="宋体" w:hAnsi="宋体" w:eastAsia="宋体"/>
          <w:color w:val="auto"/>
          <w:sz w:val="24"/>
          <w:szCs w:val="24"/>
        </w:rPr>
        <w:t>五号宋体加粗，数字和字母为号五号Times New Roman体加粗，图的编号与图题之间应空半角2格。图的编号与图题应置于图</w:t>
      </w:r>
      <w:r>
        <w:rPr>
          <w:rFonts w:hint="eastAsia" w:ascii="宋体" w:hAnsi="宋体" w:eastAsia="宋体"/>
          <w:color w:val="auto"/>
          <w:sz w:val="24"/>
          <w:szCs w:val="24"/>
        </w:rPr>
        <w:t>下方的居中位置。图内文字为</w:t>
      </w:r>
      <w:r>
        <w:rPr>
          <w:rFonts w:ascii="宋体" w:hAnsi="宋体" w:eastAsia="宋体"/>
          <w:color w:val="auto"/>
          <w:sz w:val="24"/>
          <w:szCs w:val="24"/>
        </w:rPr>
        <w:t>5号宋体，数字和字母为5号 Times New Roman</w:t>
      </w:r>
      <w:r>
        <w:rPr>
          <w:rFonts w:hint="eastAsia" w:ascii="宋体" w:hAnsi="宋体" w:eastAsia="宋体"/>
          <w:color w:val="auto"/>
          <w:sz w:val="24"/>
          <w:szCs w:val="24"/>
        </w:rPr>
        <w:t>体。曲线图的纵横坐标必须标注“量、标准规定符号、单位”，此三者只有在不必要注明（如无量刚等）的情况下方可省略。坐标上标注的量的符号和缩略词必须与正文中一致。</w:t>
      </w:r>
    </w:p>
    <w:p>
      <w:pPr>
        <w:spacing w:line="360" w:lineRule="auto"/>
        <w:rPr>
          <w:rFonts w:ascii="宋体" w:hAnsi="宋体" w:eastAsia="宋体"/>
          <w:color w:val="auto"/>
          <w:sz w:val="24"/>
          <w:szCs w:val="24"/>
        </w:rPr>
      </w:pPr>
      <w:r>
        <w:rPr>
          <w:rFonts w:ascii="宋体" w:hAnsi="宋体" w:eastAsia="宋体"/>
          <w:color w:val="auto"/>
          <w:sz w:val="24"/>
          <w:szCs w:val="24"/>
        </w:rPr>
        <w:t>6.2 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表的标号应采用从</w:t>
      </w:r>
      <w:r>
        <w:rPr>
          <w:rFonts w:ascii="宋体" w:hAnsi="宋体" w:eastAsia="宋体"/>
          <w:color w:val="auto"/>
          <w:sz w:val="24"/>
          <w:szCs w:val="24"/>
        </w:rPr>
        <w:t>1开始的阿拉伯数字编号，如：“表1”、“表2”……。表编号应一直连续到附录之前，并与章、节和图的编号无关。只有一</w:t>
      </w:r>
      <w:r>
        <w:rPr>
          <w:rFonts w:hint="eastAsia" w:ascii="宋体" w:hAnsi="宋体" w:eastAsia="宋体"/>
          <w:color w:val="auto"/>
          <w:sz w:val="24"/>
          <w:szCs w:val="24"/>
        </w:rPr>
        <w:t>幅表，仍应标为“表</w:t>
      </w:r>
      <w:r>
        <w:rPr>
          <w:rFonts w:ascii="宋体" w:hAnsi="宋体" w:eastAsia="宋体"/>
          <w:color w:val="auto"/>
          <w:sz w:val="24"/>
          <w:szCs w:val="24"/>
        </w:rPr>
        <w:t>1”。表题应明确简短，用五号宋体加粗，数字和字母为</w:t>
      </w:r>
      <w:r>
        <w:rPr>
          <w:rFonts w:hint="eastAsia" w:ascii="宋体" w:hAnsi="宋体" w:eastAsia="宋体"/>
          <w:color w:val="auto"/>
          <w:sz w:val="24"/>
          <w:szCs w:val="24"/>
        </w:rPr>
        <w:t>号</w:t>
      </w:r>
      <w:r>
        <w:rPr>
          <w:rFonts w:ascii="宋体" w:hAnsi="宋体" w:eastAsia="宋体"/>
          <w:color w:val="auto"/>
          <w:sz w:val="24"/>
          <w:szCs w:val="24"/>
        </w:rPr>
        <w:t>五号Times New Roman体加粗，表的编号与表题之间应空半角2格。表的编</w:t>
      </w:r>
      <w:r>
        <w:rPr>
          <w:rFonts w:hint="eastAsia" w:ascii="宋体" w:hAnsi="宋体" w:eastAsia="宋体"/>
          <w:color w:val="auto"/>
          <w:sz w:val="24"/>
          <w:szCs w:val="24"/>
        </w:rPr>
        <w:t>号与表题应置于表上方的居中位置。表内文字为</w:t>
      </w:r>
      <w:r>
        <w:rPr>
          <w:rFonts w:ascii="宋体" w:hAnsi="宋体" w:eastAsia="宋体"/>
          <w:color w:val="auto"/>
          <w:sz w:val="24"/>
          <w:szCs w:val="24"/>
        </w:rPr>
        <w:t>5号宋体，数字和字母为5号Times New Roman  体。</w:t>
      </w:r>
    </w:p>
    <w:p>
      <w:pPr>
        <w:spacing w:line="360" w:lineRule="auto"/>
        <w:rPr>
          <w:rFonts w:ascii="宋体" w:hAnsi="宋体" w:eastAsia="宋体"/>
          <w:color w:val="auto"/>
          <w:sz w:val="24"/>
          <w:szCs w:val="24"/>
        </w:rPr>
      </w:pPr>
      <w:r>
        <w:rPr>
          <w:rFonts w:ascii="宋体" w:hAnsi="宋体" w:eastAsia="宋体"/>
          <w:color w:val="auto"/>
          <w:sz w:val="24"/>
          <w:szCs w:val="24"/>
        </w:rPr>
        <w:t>6.3 附注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图、表中若有附注时，附注各项的序号一律用“附注</w:t>
      </w:r>
      <w:r>
        <w:rPr>
          <w:rFonts w:ascii="宋体" w:hAnsi="宋体" w:eastAsia="宋体"/>
          <w:color w:val="auto"/>
          <w:sz w:val="24"/>
          <w:szCs w:val="24"/>
        </w:rPr>
        <w:t>+阿拉伯数字+冒</w:t>
      </w:r>
      <w:r>
        <w:rPr>
          <w:rFonts w:hint="eastAsia" w:ascii="宋体" w:hAnsi="宋体" w:eastAsia="宋体"/>
          <w:color w:val="auto"/>
          <w:sz w:val="24"/>
          <w:szCs w:val="24"/>
        </w:rPr>
        <w:t>号”，如：“附注</w:t>
      </w:r>
      <w:r>
        <w:rPr>
          <w:rFonts w:ascii="宋体" w:hAnsi="宋体" w:eastAsia="宋体"/>
          <w:color w:val="auto"/>
          <w:sz w:val="24"/>
          <w:szCs w:val="24"/>
        </w:rPr>
        <w:t xml:space="preserve"> 1：”。附注写在图、表的下方，一般采用5号宋体。</w:t>
      </w:r>
    </w:p>
    <w:p>
      <w:pPr>
        <w:spacing w:before="156" w:beforeLines="50" w:after="156" w:afterLines="50"/>
        <w:rPr>
          <w:rFonts w:ascii="宋体" w:hAnsi="宋体" w:eastAsia="宋体"/>
          <w:color w:val="auto"/>
        </w:rPr>
      </w:pPr>
      <w:r>
        <w:rPr>
          <w:rFonts w:hint="eastAsia" w:ascii="宋体" w:hAnsi="宋体" w:eastAsia="宋体"/>
          <w:b/>
          <w:bCs/>
          <w:color w:val="auto"/>
          <w:sz w:val="28"/>
          <w:szCs w:val="28"/>
        </w:rPr>
        <w:t>三</w:t>
      </w:r>
      <w:r>
        <w:rPr>
          <w:rFonts w:ascii="宋体" w:hAnsi="宋体" w:eastAsia="宋体"/>
          <w:b/>
          <w:bCs/>
          <w:color w:val="auto"/>
          <w:sz w:val="28"/>
          <w:szCs w:val="28"/>
        </w:rPr>
        <w:t xml:space="preserve"> 、案例分析报告评分标准</w:t>
      </w:r>
    </w:p>
    <w:p>
      <w:pPr>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（一）</w:t>
      </w:r>
      <w:r>
        <w:rPr>
          <w:rFonts w:ascii="宋体" w:hAnsi="宋体" w:eastAsia="宋体"/>
          <w:b/>
          <w:bCs/>
          <w:color w:val="auto"/>
          <w:sz w:val="24"/>
          <w:szCs w:val="24"/>
        </w:rPr>
        <w:t>案例故事性（30分）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案例写作突出故事性，引导读者进入案例情景，反映案例基本事实和核心内容，具有一定的典型性、代表性和现实意义。</w:t>
      </w:r>
    </w:p>
    <w:p>
      <w:pPr>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（二）</w:t>
      </w:r>
      <w:r>
        <w:rPr>
          <w:rFonts w:ascii="宋体" w:hAnsi="宋体" w:eastAsia="宋体"/>
          <w:b/>
          <w:bCs/>
          <w:color w:val="auto"/>
          <w:sz w:val="24"/>
          <w:szCs w:val="24"/>
        </w:rPr>
        <w:t>案例冲突性（20分）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案例写作展现冲突性，突出决策困境和利益相关者，具有较强的启发性、争议性。</w:t>
      </w:r>
    </w:p>
    <w:p>
      <w:pPr>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（三）</w:t>
      </w:r>
      <w:r>
        <w:rPr>
          <w:rFonts w:ascii="宋体" w:hAnsi="宋体" w:eastAsia="宋体"/>
          <w:b/>
          <w:bCs/>
          <w:color w:val="auto"/>
          <w:sz w:val="24"/>
          <w:szCs w:val="24"/>
        </w:rPr>
        <w:t>调研方法（20分）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恰当运用社会科学各种调查研究方法。</w:t>
      </w:r>
    </w:p>
    <w:p>
      <w:pPr>
        <w:spacing w:line="360" w:lineRule="auto"/>
        <w:ind w:firstLine="482" w:firstLineChars="200"/>
        <w:rPr>
          <w:rFonts w:ascii="宋体" w:hAnsi="宋体" w:eastAsia="宋体"/>
          <w:color w:val="auto"/>
          <w:sz w:val="24"/>
          <w:szCs w:val="24"/>
        </w:rPr>
      </w:pPr>
      <w:r>
        <w:rPr>
          <w:rFonts w:hint="eastAsia" w:ascii="宋体" w:hAnsi="宋体" w:eastAsia="宋体"/>
          <w:b/>
          <w:bCs/>
          <w:color w:val="auto"/>
          <w:sz w:val="24"/>
          <w:szCs w:val="24"/>
        </w:rPr>
        <w:t>（四）理论应用</w:t>
      </w:r>
      <w:r>
        <w:rPr>
          <w:rFonts w:ascii="宋体" w:hAnsi="宋体" w:eastAsia="宋体"/>
          <w:b/>
          <w:bCs/>
          <w:color w:val="auto"/>
          <w:sz w:val="24"/>
          <w:szCs w:val="24"/>
        </w:rPr>
        <w:t xml:space="preserve">与结论适当（30分） </w:t>
      </w:r>
    </w:p>
    <w:p>
      <w:pPr>
        <w:spacing w:line="360" w:lineRule="auto"/>
        <w:ind w:firstLine="480" w:firstLineChars="200"/>
        <w:rPr>
          <w:rFonts w:ascii="宋体" w:hAnsi="宋体" w:eastAsia="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auto"/>
          <w:sz w:val="24"/>
          <w:szCs w:val="24"/>
        </w:rPr>
        <w:t>准确使用公共管理相关理论分析案例展现的冲突点，逻辑严谨，框架恰当，结论适当，建议可行。</w:t>
      </w:r>
    </w:p>
    <w:p>
      <w:pPr>
        <w:spacing w:before="312" w:beforeLines="100" w:line="360" w:lineRule="auto"/>
        <w:jc w:val="left"/>
        <w:rPr>
          <w:rFonts w:ascii="宋体" w:hAnsi="宋体" w:eastAsia="宋体"/>
          <w:color w:val="auto"/>
          <w:sz w:val="24"/>
          <w:szCs w:val="24"/>
        </w:rPr>
      </w:pPr>
      <w:r>
        <w:rPr>
          <w:rFonts w:hint="eastAsia" w:ascii="宋体" w:hAnsi="宋体" w:eastAsia="宋体"/>
          <w:color w:val="auto"/>
          <w:sz w:val="24"/>
          <w:szCs w:val="24"/>
        </w:rPr>
        <w:t>附件2：</w:t>
      </w:r>
    </w:p>
    <w:p>
      <w:pPr>
        <w:spacing w:line="360" w:lineRule="auto"/>
        <w:ind w:firstLine="480" w:firstLineChars="200"/>
        <w:rPr>
          <w:rFonts w:ascii="宋体" w:hAnsi="宋体" w:eastAsia="宋体"/>
          <w:color w:val="auto"/>
          <w:sz w:val="24"/>
          <w:szCs w:val="24"/>
        </w:rPr>
      </w:pPr>
    </w:p>
    <w:p>
      <w:pPr>
        <w:spacing w:line="360" w:lineRule="auto"/>
        <w:jc w:val="left"/>
        <w:rPr>
          <w:b/>
          <w:color w:val="auto"/>
          <w:sz w:val="24"/>
        </w:rPr>
      </w:pPr>
      <w:r>
        <w:rPr>
          <w:b/>
          <w:color w:val="auto"/>
          <w:sz w:val="24"/>
        </w:rPr>
        <w:tab/>
      </w:r>
    </w:p>
    <w:p>
      <w:pPr>
        <w:spacing w:line="360" w:lineRule="auto"/>
        <w:ind w:firstLine="480" w:firstLineChars="200"/>
        <w:jc w:val="left"/>
        <w:rPr>
          <w:color w:val="auto"/>
          <w:sz w:val="24"/>
        </w:rPr>
      </w:pPr>
    </w:p>
    <w:p>
      <w:pPr>
        <w:spacing w:line="360" w:lineRule="auto"/>
        <w:ind w:firstLine="480" w:firstLineChars="200"/>
        <w:jc w:val="left"/>
        <w:rPr>
          <w:color w:val="auto"/>
          <w:sz w:val="24"/>
        </w:rPr>
      </w:pPr>
    </w:p>
    <w:p>
      <w:pPr>
        <w:spacing w:line="360" w:lineRule="auto"/>
        <w:ind w:firstLine="480" w:firstLineChars="200"/>
        <w:jc w:val="left"/>
        <w:rPr>
          <w:color w:val="auto"/>
          <w:sz w:val="24"/>
        </w:rPr>
      </w:pPr>
    </w:p>
    <w:p>
      <w:pPr>
        <w:spacing w:line="480" w:lineRule="auto"/>
        <w:jc w:val="center"/>
        <w:rPr>
          <w:rFonts w:ascii="华文中宋" w:hAnsi="华文中宋" w:eastAsia="华文中宋"/>
          <w:b/>
          <w:color w:val="auto"/>
          <w:sz w:val="40"/>
        </w:rPr>
      </w:pPr>
      <w:bookmarkStart w:id="0" w:name="_Hlk69202423"/>
      <w:r>
        <w:rPr>
          <w:rFonts w:hint="eastAsia" w:ascii="华文中宋" w:hAnsi="华文中宋" w:eastAsia="华文中宋"/>
          <w:b/>
          <w:color w:val="auto"/>
          <w:sz w:val="40"/>
        </w:rPr>
        <w:t>第二届南京中医药大学卫生经济管理学院公共管理案例大赛</w:t>
      </w:r>
    </w:p>
    <w:bookmarkEnd w:id="0"/>
    <w:p>
      <w:pPr>
        <w:spacing w:before="240" w:line="480" w:lineRule="auto"/>
        <w:jc w:val="center"/>
        <w:rPr>
          <w:rFonts w:ascii="华文中宋" w:hAnsi="华文中宋" w:eastAsia="华文中宋"/>
          <w:b/>
          <w:color w:val="auto"/>
          <w:sz w:val="72"/>
        </w:rPr>
      </w:pPr>
      <w:r>
        <w:rPr>
          <w:rFonts w:hint="eastAsia" w:ascii="华文中宋" w:hAnsi="华文中宋" w:eastAsia="华文中宋"/>
          <w:b/>
          <w:color w:val="auto"/>
          <w:sz w:val="72"/>
        </w:rPr>
        <w:t>案例分析报告</w:t>
      </w:r>
    </w:p>
    <w:p>
      <w:pPr>
        <w:spacing w:line="480" w:lineRule="auto"/>
        <w:rPr>
          <w:color w:val="auto"/>
          <w:sz w:val="24"/>
        </w:rPr>
      </w:pPr>
    </w:p>
    <w:p>
      <w:pPr>
        <w:spacing w:line="480" w:lineRule="auto"/>
        <w:rPr>
          <w:color w:val="auto"/>
          <w:sz w:val="24"/>
        </w:rPr>
      </w:pPr>
    </w:p>
    <w:p>
      <w:pPr>
        <w:spacing w:line="480" w:lineRule="auto"/>
        <w:rPr>
          <w:color w:val="auto"/>
          <w:sz w:val="24"/>
        </w:rPr>
      </w:pPr>
    </w:p>
    <w:p>
      <w:pPr>
        <w:spacing w:line="480" w:lineRule="auto"/>
        <w:rPr>
          <w:color w:val="auto"/>
          <w:sz w:val="24"/>
        </w:rPr>
      </w:pPr>
    </w:p>
    <w:p>
      <w:pPr>
        <w:spacing w:line="480" w:lineRule="auto"/>
        <w:rPr>
          <w:color w:val="auto"/>
          <w:sz w:val="24"/>
        </w:rPr>
      </w:pPr>
    </w:p>
    <w:p>
      <w:pPr>
        <w:spacing w:line="480" w:lineRule="auto"/>
        <w:rPr>
          <w:color w:val="auto"/>
          <w:sz w:val="24"/>
        </w:rPr>
      </w:pPr>
    </w:p>
    <w:p>
      <w:pPr>
        <w:spacing w:line="480" w:lineRule="auto"/>
        <w:ind w:left="2100"/>
        <w:rPr>
          <w:color w:val="auto"/>
          <w:sz w:val="24"/>
          <w:u w:val="single"/>
        </w:rPr>
      </w:pPr>
      <w:r>
        <w:rPr>
          <w:rFonts w:hint="eastAsia"/>
          <w:color w:val="auto"/>
          <w:sz w:val="24"/>
        </w:rPr>
        <w:t>题目：</w:t>
      </w:r>
      <w:r>
        <w:rPr>
          <w:rFonts w:hint="eastAsia"/>
          <w:color w:val="auto"/>
          <w:sz w:val="24"/>
          <w:u w:val="single"/>
        </w:rPr>
        <w:t xml:space="preserve">                   </w:t>
      </w:r>
      <w:r>
        <w:rPr>
          <w:color w:val="auto"/>
          <w:sz w:val="24"/>
          <w:u w:val="single"/>
        </w:rPr>
        <w:t xml:space="preserve">     </w:t>
      </w:r>
    </w:p>
    <w:p>
      <w:pPr>
        <w:spacing w:line="480" w:lineRule="auto"/>
        <w:ind w:left="1680" w:firstLine="420"/>
        <w:rPr>
          <w:color w:val="auto"/>
          <w:sz w:val="24"/>
          <w:u w:val="single"/>
        </w:rPr>
      </w:pPr>
      <w:r>
        <w:rPr>
          <w:rFonts w:hint="eastAsia"/>
          <w:color w:val="auto"/>
          <w:sz w:val="24"/>
        </w:rPr>
        <w:t>编号：</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480" w:lineRule="auto"/>
        <w:ind w:left="1680" w:firstLine="420"/>
        <w:rPr>
          <w:color w:val="auto"/>
          <w:sz w:val="24"/>
        </w:rPr>
      </w:pPr>
      <w:r>
        <w:rPr>
          <w:rFonts w:hint="eastAsia"/>
          <w:color w:val="auto"/>
          <w:sz w:val="24"/>
        </w:rPr>
        <w:t>日期：</w:t>
      </w:r>
      <w:r>
        <w:rPr>
          <w:rFonts w:hint="eastAsia"/>
          <w:color w:val="auto"/>
          <w:sz w:val="24"/>
          <w:u w:val="single"/>
        </w:rPr>
        <w:t xml:space="preserve">                   </w:t>
      </w:r>
      <w:r>
        <w:rPr>
          <w:color w:val="auto"/>
          <w:sz w:val="24"/>
          <w:u w:val="single"/>
        </w:rPr>
        <w:t xml:space="preserve">     </w:t>
      </w:r>
    </w:p>
    <w:p>
      <w:pPr>
        <w:widowControl/>
        <w:jc w:val="left"/>
        <w:rPr>
          <w:color w:val="auto"/>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ThjY2MyN2EzOTU3Yzg1ZDM1OWVjMWU0NDlhODgifQ=="/>
  </w:docVars>
  <w:rsids>
    <w:rsidRoot w:val="226865D5"/>
    <w:rsid w:val="2268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2022-12-02T07:55:00Z</dcterms:created>
  <dc:creator>WPS_1665320279</dc:creator>
  <cp:lastModifiedBy>WPS_1665320279</cp:lastModifiedBy>
  <dcterms:modified xsi:type="dcterms:W3CDTF">2022-12-02T07:55:53Z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EC958D3E297440058C916FA0E2DA2FD7</vt:lpwstr>
  </property>
</Properties>
</file>